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0"/>
        <w:gridCol w:w="3150"/>
        <w:gridCol w:w="3210"/>
        <w:gridCol w:w="1080"/>
        <w:gridCol w:w="1215"/>
        <w:tblGridChange w:id="0">
          <w:tblGrid>
            <w:gridCol w:w="660"/>
            <w:gridCol w:w="3150"/>
            <w:gridCol w:w="3210"/>
            <w:gridCol w:w="1080"/>
            <w:gridCol w:w="121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84" w:firstLine="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Numer projektu: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84" w:firstLine="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Tytuł projektu: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70" w:firstLine="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SPEŁNIENIE KRYTERIUM DOSTĘPU 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70" w:firstLine="0"/>
              <w:rPr>
                <w:i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mallCaps w:val="1"/>
                <w:color w:val="000000"/>
                <w:sz w:val="20"/>
                <w:szCs w:val="20"/>
                <w:rtl w:val="0"/>
              </w:rPr>
              <w:t xml:space="preserve">Projekt mieści się w katalogu działań pożytku publicznego wskazanego w </w:t>
            </w:r>
            <w:r w:rsidDel="00000000" w:rsidR="00000000" w:rsidRPr="00000000">
              <w:rPr>
                <w:i w:val="1"/>
                <w:smallCaps w:val="1"/>
                <w:color w:val="000000"/>
                <w:sz w:val="20"/>
                <w:szCs w:val="20"/>
                <w:rtl w:val="0"/>
              </w:rPr>
              <w:t xml:space="preserve">ustawie o działalności pożytku publicznego i wolontariacie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70" w:firstLine="0"/>
              <w:rPr>
                <w:i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przy odpowiedzi „nie” wniosek nie jest kwalifikowany do dalszej oceny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TAK / 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OCENA WNIOSKU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 spełnia kryterium (odpowiedź negatywna na pytanie)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Spełnia kryterium w niewielkim/ średnim stopniu (odpowiedź pozytywna, ale nie dość wyczerpująca)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pkt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Spełnia kryterium w znaczącym/ dużym stopniu (odpowiedź pełna, wyczerpująca)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Potencjał organizacji 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26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0-4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2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Wnioskodawca posiada potencjał niezbędny do realizacji projektu </w:t>
            </w:r>
            <w:r w:rsidDel="00000000" w:rsidR="00000000" w:rsidRPr="00000000">
              <w:rPr>
                <w:rtl w:val="0"/>
              </w:rPr>
              <w:t xml:space="preserve">   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(pytania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Cele rozwojowe są określone jasno, precyzyjnie i realnie.  (pytanie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Spójność zaproponowanego planu rozwoju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0-6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Wnioskodawca dostrzega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wyzwania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 rozwoju swojej organizacji i proponuje konkretne/adekwatne rozwiązania (pytania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spacing w:after="200" w:line="276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Działania są adekwatne do zaplanowanych celów. (pytania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6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Wnioskodawca wskazał, w jaki sposób włączy własne zasoby w realizacj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planu rozwoju (rozumiane szeroko jako: osoby, finanse, ale i kompetencje, know-how, współpracę partnerską itd.) (pytanie 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hanging="360"/>
              <w:rPr>
                <w:b w:val="1"/>
                <w:smallCap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color w:val="000000"/>
                <w:sz w:val="20"/>
                <w:szCs w:val="20"/>
                <w:rtl w:val="0"/>
              </w:rPr>
              <w:t xml:space="preserve">Budżet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34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0-4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20" w:firstLine="0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Wydatki w projekcie są niezbędne dla przeprowadzenia zaplanowanych działań i osiągnięcia celów (pytania 7, 9, 10 i 12 - budżet)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0-1-2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709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Przedstawione wydatki są uzasadnione cenowo. (pytanie 12 - budżet)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0-1-2</w:t>
            </w:r>
          </w:p>
        </w:tc>
        <w:tc>
          <w:tcPr>
            <w:vMerge w:val="continue"/>
            <w:shd w:fill="d9d9d9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1">
            <w:pPr>
              <w:ind w:left="426" w:firstLine="0"/>
              <w:jc w:val="right"/>
              <w:rPr>
                <w:b w:val="1"/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PODSUMOWANIE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4">
            <w:pPr>
              <w:rPr>
                <w:b w:val="1"/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6">
            <w:pPr>
              <w:ind w:left="426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Roboto" w:cs="Roboto" w:eastAsia="Roboto" w:hAnsi="Roboto"/>
                <w:b w:val="1"/>
                <w:color w:val="3c4043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21"/>
                <w:szCs w:val="21"/>
                <w:highlight w:val="white"/>
                <w:rtl w:val="0"/>
              </w:rPr>
              <w:t xml:space="preserve">UWAGI DO GŁÓWNYCH WYDATKÓW </w:t>
            </w:r>
          </w:p>
          <w:p w:rsidR="00000000" w:rsidDel="00000000" w:rsidP="00000000" w:rsidRDefault="00000000" w:rsidRPr="00000000" w14:paraId="0000008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21"/>
                <w:szCs w:val="21"/>
                <w:highlight w:val="white"/>
                <w:rtl w:val="0"/>
              </w:rPr>
              <w:t xml:space="preserve">(inne niż powyżej)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c4043"/>
                <w:sz w:val="21"/>
                <w:szCs w:val="21"/>
                <w:highlight w:val="white"/>
                <w:rtl w:val="0"/>
              </w:rPr>
              <w:t xml:space="preserve">PYTANIA DO PREZENTACJI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ind w:left="1440" w:firstLine="0"/>
              <w:rPr>
                <w:color w:val="948a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a) Czy wszystkie działania projektowe opisane we wniosku będą realizowane na terenie Mazowsza?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b) Czy czas realizacji projektu mieści się w okresie kwalifikowalności projektu określonym w Regulaminie?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tak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nie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KOMENTARZ DO PUNKTÓW A-B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ind w:left="1440" w:firstLine="0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Imię i nazwisko Eksperta:</w:t>
        <w:br w:type="textWrapping"/>
        <w:t xml:space="preserve">Data zatwierdzenia oceny:</w:t>
      </w:r>
    </w:p>
    <w:p w:rsidR="00000000" w:rsidDel="00000000" w:rsidP="00000000" w:rsidRDefault="00000000" w:rsidRPr="00000000" w14:paraId="000000A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993" w:top="141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60410" cy="83820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sz w:val="28"/>
        <w:szCs w:val="28"/>
      </w:rPr>
    </w:pPr>
    <w:bookmarkStart w:colFirst="0" w:colLast="0" w:name="_heading=h.qomdp4awn6zr" w:id="1"/>
    <w:bookmarkEnd w:id="1"/>
    <w:r w:rsidDel="00000000" w:rsidR="00000000" w:rsidRPr="00000000">
      <w:rPr>
        <w:b w:val="1"/>
        <w:smallCaps w:val="1"/>
        <w:sz w:val="28"/>
        <w:szCs w:val="28"/>
      </w:rPr>
      <w:drawing>
        <wp:inline distB="114300" distT="114300" distL="114300" distR="114300">
          <wp:extent cx="5118263" cy="6687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18263" cy="668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sz w:val="28"/>
        <w:szCs w:val="28"/>
      </w:rPr>
    </w:pPr>
    <w:bookmarkStart w:colFirst="0" w:colLast="0" w:name="_heading=h.sj4ukrwx40x8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  <w:highlight w:val="yellow"/>
      </w:rPr>
    </w:pPr>
    <w:bookmarkStart w:colFirst="0" w:colLast="0" w:name="_heading=h.jq7r7u1mc618" w:id="3"/>
    <w:bookmarkEnd w:id="3"/>
    <w:r w:rsidDel="00000000" w:rsidR="00000000" w:rsidRPr="00000000">
      <w:rPr>
        <w:b w:val="1"/>
        <w:smallCaps w:val="1"/>
        <w:color w:val="000000"/>
        <w:sz w:val="28"/>
        <w:szCs w:val="28"/>
        <w:rtl w:val="0"/>
      </w:rPr>
      <w:t xml:space="preserve">KARTA OCENY FISZKI MAZOWSZE LOKALNIE 202</w:t>
    </w:r>
    <w:r w:rsidDel="00000000" w:rsidR="00000000" w:rsidRPr="00000000">
      <w:rPr>
        <w:b w:val="1"/>
        <w:smallCaps w:val="1"/>
        <w:sz w:val="28"/>
        <w:szCs w:val="28"/>
        <w:rtl w:val="0"/>
      </w:rPr>
      <w:t xml:space="preserve">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smallCaps w:val="1"/>
        <w:color w:val="000000"/>
        <w:sz w:val="28"/>
        <w:szCs w:val="28"/>
      </w:rPr>
    </w:pPr>
    <w:r w:rsidDel="00000000" w:rsidR="00000000" w:rsidRPr="00000000">
      <w:rPr>
        <w:b w:val="1"/>
        <w:smallCaps w:val="1"/>
        <w:color w:val="000000"/>
        <w:sz w:val="28"/>
        <w:szCs w:val="28"/>
        <w:rtl w:val="0"/>
      </w:rPr>
      <w:t xml:space="preserve">„ROZWÓJ MŁODYCH ORGANIZACJI”</w:t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91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3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5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9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1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51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ny" w:default="1">
    <w:name w:val="Normal"/>
    <w:qFormat w:val="1"/>
  </w:style>
  <w:style w:type="paragraph" w:styleId="Nagwek1">
    <w:name w:val="heading 1"/>
    <w:basedOn w:val="Normalny1"/>
    <w:next w:val="Normalny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1"/>
    <w:next w:val="Normalny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1"/>
    <w:next w:val="Normalny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ny1" w:customStyle="1">
    <w:name w:val="Normalny1"/>
  </w:style>
  <w:style w:type="paragraph" w:styleId="Akapitzlist">
    <w:name w:val="List Paragraph"/>
    <w:basedOn w:val="Normalny"/>
    <w:uiPriority w:val="34"/>
    <w:qFormat w:val="1"/>
    <w:rsid w:val="0009265B"/>
    <w:pPr>
      <w:ind w:left="720"/>
      <w:contextualSpacing w:val="1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6C1B8F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6C1B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6C1B8F"/>
    <w:rPr>
      <w:vertAlign w:val="superscript"/>
    </w:rPr>
  </w:style>
  <w:style w:type="table" w:styleId="Tabela-Siatka">
    <w:name w:val="Table Grid"/>
    <w:basedOn w:val="Standardowy"/>
    <w:uiPriority w:val="59"/>
    <w:rsid w:val="00285DD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FE65B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E65BA"/>
  </w:style>
  <w:style w:type="paragraph" w:styleId="Stopka">
    <w:name w:val="footer"/>
    <w:basedOn w:val="Normalny"/>
    <w:link w:val="StopkaZnak"/>
    <w:uiPriority w:val="99"/>
    <w:unhideWhenUsed w:val="1"/>
    <w:rsid w:val="00FE65B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E65BA"/>
  </w:style>
  <w:style w:type="character" w:styleId="Pogrubienie">
    <w:name w:val="Strong"/>
    <w:basedOn w:val="Domylnaczcionkaakapitu"/>
    <w:uiPriority w:val="22"/>
    <w:qFormat w:val="1"/>
    <w:rsid w:val="00FE65BA"/>
    <w:rPr>
      <w:b w:val="1"/>
      <w:bCs w:val="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85C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685CE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685C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85CE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85CE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685C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685CE7"/>
    <w:rPr>
      <w:rFonts w:ascii="Tahoma" w:cs="Tahoma" w:hAnsi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Standardowy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VZ5xmEce98olsr0Nrep+gfgUEA==">CgMxLjAyCGguZ2pkZ3hzMg5oLnFvbWRwNGF3bjZ6cjIOaC5zajR1a3J3eDQweDgyDmguanE3cjd1MW1jNjE4OAByITEybGc2bnQ4Rml3V0tGQ28wSVBRcU5nbEdXOExOcUliMA==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2022-01-26T12:42:00Z</dcterms:created>
  <dc:creator>Katarzyna Wierzbicka</dc:creator>
</cp:coreProperties>
</file>